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AA" w:rsidRPr="00E131AA" w:rsidRDefault="00E131AA" w:rsidP="00E131AA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C00000"/>
          <w:sz w:val="22"/>
          <w:szCs w:val="22"/>
        </w:rPr>
      </w:pPr>
      <w:r w:rsidRPr="00145519">
        <w:rPr>
          <w:rFonts w:ascii="PT Astra Serif" w:hAnsi="PT Astra Serif" w:cs="Times New Roman"/>
          <w:b/>
          <w:color w:val="C00000"/>
          <w:sz w:val="22"/>
          <w:szCs w:val="22"/>
        </w:rPr>
        <w:t xml:space="preserve">Аннотация к рабочей программе внеурочной деятельности </w:t>
      </w:r>
      <w:r w:rsidR="0082018F">
        <w:rPr>
          <w:rFonts w:ascii="PT Astra Serif" w:hAnsi="PT Astra Serif" w:cs="Times New Roman"/>
          <w:b/>
          <w:color w:val="C00000"/>
          <w:sz w:val="22"/>
          <w:szCs w:val="22"/>
        </w:rPr>
        <w:t>«</w:t>
      </w:r>
      <w:r w:rsidR="003A0DE7">
        <w:rPr>
          <w:rFonts w:ascii="PT Astra Serif" w:hAnsi="PT Astra Serif" w:cs="Times New Roman"/>
          <w:b/>
          <w:color w:val="C00000"/>
          <w:sz w:val="22"/>
          <w:szCs w:val="22"/>
        </w:rPr>
        <w:t>Основ</w:t>
      </w:r>
      <w:r w:rsidR="0082018F">
        <w:rPr>
          <w:rFonts w:ascii="PT Astra Serif" w:hAnsi="PT Astra Serif" w:cs="Times New Roman"/>
          <w:b/>
          <w:color w:val="C00000"/>
          <w:sz w:val="22"/>
          <w:szCs w:val="22"/>
        </w:rPr>
        <w:t>ы</w:t>
      </w:r>
      <w:r w:rsidR="003A0DE7">
        <w:rPr>
          <w:rFonts w:ascii="PT Astra Serif" w:hAnsi="PT Astra Serif" w:cs="Times New Roman"/>
          <w:b/>
          <w:color w:val="C00000"/>
          <w:sz w:val="22"/>
          <w:szCs w:val="22"/>
        </w:rPr>
        <w:t xml:space="preserve"> духовно-нравственной культуры народов России</w:t>
      </w:r>
      <w:r w:rsidR="0082018F">
        <w:rPr>
          <w:rFonts w:ascii="PT Astra Serif" w:hAnsi="PT Astra Serif" w:cs="Times New Roman"/>
          <w:b/>
          <w:color w:val="C00000"/>
          <w:sz w:val="22"/>
          <w:szCs w:val="22"/>
        </w:rPr>
        <w:t>»</w:t>
      </w:r>
    </w:p>
    <w:tbl>
      <w:tblPr>
        <w:tblStyle w:val="a3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B35DB0" w:rsidRDefault="00137335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C00000"/>
                <w:sz w:val="22"/>
                <w:szCs w:val="22"/>
              </w:rPr>
              <w:t>«Основы духовно-нравственной культуры народов России»</w:t>
            </w:r>
          </w:p>
        </w:tc>
      </w:tr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</w:tr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131AA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>1.</w:t>
            </w: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ab/>
              <w:t xml:space="preserve">Приказ </w:t>
            </w:r>
            <w:proofErr w:type="spellStart"/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>Минпросвещения</w:t>
            </w:r>
            <w:proofErr w:type="spellEnd"/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 64100) - http://www.consultant.ru/document/cons_doc_LAW_389561/</w:t>
            </w:r>
          </w:p>
          <w:p w:rsidR="00E131AA" w:rsidRPr="00E131AA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>2.</w:t>
            </w: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ab/>
              <w:t xml:space="preserve">Приказ </w:t>
            </w:r>
            <w:proofErr w:type="spellStart"/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>Минпросвещения</w:t>
            </w:r>
            <w:proofErr w:type="spellEnd"/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http://www.consultant.ru/document/cons_doc_LAW_389560/</w:t>
            </w:r>
          </w:p>
          <w:p w:rsidR="00E131AA" w:rsidRPr="00E131AA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>3.</w:t>
            </w: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ab/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      </w:r>
          </w:p>
          <w:p w:rsidR="00E131AA" w:rsidRPr="00E131AA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>4.</w:t>
            </w:r>
            <w:r w:rsidRPr="00E131AA">
              <w:rPr>
                <w:rFonts w:ascii="PT Astra Serif" w:eastAsia="Times New Roman" w:hAnsi="PT Astra Serif" w:cs="Times New Roman"/>
                <w:sz w:val="22"/>
                <w:szCs w:val="22"/>
              </w:rPr>
              <w:tab/>
              <w:t>Методические рекомендации –</w:t>
            </w:r>
          </w:p>
          <w:p w:rsidR="00CF436C" w:rsidRDefault="0089699E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hyperlink r:id="rId5" w:history="1">
              <w:r w:rsidR="00CF436C" w:rsidRPr="003C4015">
                <w:rPr>
                  <w:rStyle w:val="a6"/>
                  <w:rFonts w:ascii="PT Astra Serif" w:eastAsia="Times New Roman" w:hAnsi="PT Astra Serif" w:cs="Times New Roman"/>
                  <w:sz w:val="22"/>
                  <w:szCs w:val="22"/>
                </w:rPr>
                <w:t>http://www.consultant.ru/document/cons_doc_LAW_278827/2a682f0091a7354a5b60bd9e8e699b237680585c/</w:t>
              </w:r>
            </w:hyperlink>
          </w:p>
          <w:p w:rsidR="00E131AA" w:rsidRPr="009F1034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5.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Основная образовательная программа основного общего образования МБОУ «Пригородная С Ш»</w:t>
            </w:r>
          </w:p>
          <w:p w:rsidR="00E131AA" w:rsidRPr="009F1034" w:rsidRDefault="00CF436C" w:rsidP="000D0CDD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E131AA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="00E131AA"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Программа внеурочной деятельности основного и среднего общего образования </w:t>
            </w:r>
            <w:r w:rsidR="00E131AA"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</w:p>
          <w:p w:rsidR="00E131AA" w:rsidRDefault="00CF436C" w:rsidP="000D0CDD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E131AA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="00E131AA"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План внеурочной деятельности </w:t>
            </w:r>
            <w:r w:rsidR="00E131AA"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  <w:r w:rsidR="00E131AA"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на 202</w:t>
            </w:r>
            <w:r w:rsidR="00E131A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E131AA" w:rsidRPr="009F1034">
              <w:rPr>
                <w:rFonts w:ascii="PT Astra Serif" w:hAnsi="PT Astra Serif" w:cs="Times New Roman"/>
                <w:sz w:val="22"/>
                <w:szCs w:val="22"/>
              </w:rPr>
              <w:t>-202</w:t>
            </w:r>
            <w:r w:rsidR="00E131AA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E131AA"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учебный год.</w:t>
            </w:r>
          </w:p>
          <w:p w:rsidR="0089699E" w:rsidRPr="009F1034" w:rsidRDefault="0089699E" w:rsidP="000D0CDD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8.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F4723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3/22).</w:t>
            </w:r>
            <w:bookmarkStart w:id="0" w:name="_GoBack"/>
            <w:bookmarkEnd w:id="0"/>
          </w:p>
        </w:tc>
      </w:tr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9F1034" w:rsidRDefault="0082018F" w:rsidP="000D0CDD">
            <w:pPr>
              <w:suppressAutoHyphens/>
              <w:contextualSpacing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>Примерн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ая </w:t>
            </w: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>рабоч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ая</w:t>
            </w: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а</w:t>
            </w: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основного общего образования Основы духовно-нравственной культуры народов России (для 5 – 6 классов образовательных организаций); разработана ФГБНУ «Институт стратегии развития образования Российской академии образования»; одобрена решением федерального учебно-методического объединения по общему образованию, протокол 2/22 от 29.04.2022 г.: Москва 2022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г</w:t>
            </w: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>.</w:t>
            </w:r>
          </w:p>
        </w:tc>
      </w:tr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eastAsia="Times New Roman" w:hAnsi="PT Astra Serif" w:cs="Times New Roman"/>
                <w:sz w:val="22"/>
                <w:szCs w:val="22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B35DB0" w:rsidRDefault="00E131AA" w:rsidP="000D0CDD">
            <w:pPr>
              <w:pStyle w:val="a5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B35DB0">
              <w:rPr>
                <w:rFonts w:ascii="PT Astra Serif" w:hAnsi="PT Astra Serif"/>
                <w:sz w:val="22"/>
                <w:szCs w:val="22"/>
              </w:rPr>
              <w:t>Рабочая программа составлена из расчёта 1 час в неделю, 3</w:t>
            </w:r>
            <w:r w:rsidR="003A0DE7">
              <w:rPr>
                <w:rFonts w:ascii="PT Astra Serif" w:hAnsi="PT Astra Serif"/>
                <w:sz w:val="22"/>
                <w:szCs w:val="22"/>
              </w:rPr>
              <w:t>4</w:t>
            </w:r>
            <w:r w:rsidRPr="00B35DB0">
              <w:rPr>
                <w:rFonts w:ascii="PT Astra Serif" w:hAnsi="PT Astra Serif"/>
                <w:sz w:val="22"/>
                <w:szCs w:val="22"/>
              </w:rPr>
              <w:t xml:space="preserve"> часа в год (время занятия 40 минут)</w:t>
            </w:r>
          </w:p>
        </w:tc>
      </w:tr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B35DB0" w:rsidRDefault="0082018F" w:rsidP="0082018F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>Сохранение традиционных российских духовно-нравственных ценностей как значимой части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>культурного и исторического наследия народов России — один из ключевых национальных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>приоритетов Российской Федерации, способствующих дальнейшей гуманизации и развитию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Pr="0082018F">
              <w:rPr>
                <w:rFonts w:ascii="PT Astra Serif" w:eastAsia="Times New Roman" w:hAnsi="PT Astra Serif" w:cs="Times New Roman"/>
                <w:sz w:val="22"/>
                <w:szCs w:val="22"/>
              </w:rPr>
              <w:t>российского общества, формированию гражданской идентичности у подрастающих поколений.</w:t>
            </w:r>
          </w:p>
        </w:tc>
      </w:tr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bCs/>
                <w:color w:val="000000" w:themeColor="text1"/>
                <w:sz w:val="22"/>
                <w:szCs w:val="22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E7" w:rsidRPr="003A0DE7" w:rsidRDefault="003A0DE7" w:rsidP="003A0DE7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2"/>
                <w:szCs w:val="22"/>
              </w:rPr>
            </w:pPr>
            <w:r w:rsidRPr="003A0DE7">
              <w:rPr>
                <w:rFonts w:ascii="PT Astra Serif" w:hAnsi="PT Astra Serif" w:cs="Arial"/>
                <w:sz w:val="22"/>
                <w:szCs w:val="22"/>
              </w:rPr>
              <w:t>Первый уровень результатов – приобретение обучающимися социальных знаний (о нравственных нормах, социально одобряемых и не одобряемых формах поведения в обществе и-т.п.), первичного понимания социальной реальности и по­вседневной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      </w:r>
          </w:p>
          <w:p w:rsidR="003A0DE7" w:rsidRPr="003A0DE7" w:rsidRDefault="003A0DE7" w:rsidP="003A0DE7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2"/>
                <w:szCs w:val="22"/>
              </w:rPr>
            </w:pPr>
          </w:p>
          <w:p w:rsidR="003A0DE7" w:rsidRPr="003A0DE7" w:rsidRDefault="003A0DE7" w:rsidP="003A0DE7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2"/>
                <w:szCs w:val="22"/>
              </w:rPr>
            </w:pPr>
            <w:r w:rsidRPr="003A0DE7">
              <w:rPr>
                <w:rFonts w:ascii="PT Astra Serif" w:hAnsi="PT Astra Serif" w:cs="Arial"/>
                <w:sz w:val="22"/>
                <w:szCs w:val="22"/>
              </w:rPr>
              <w:t xml:space="preserve">Второй уровень результатов – получение обучающимися опыта пережива­ния и позитивного отношения к базовым ценностям общества, ценностного отноше­ния к социальной реальности в целом. Для достижения данного уровня результатов особое </w:t>
            </w:r>
            <w:r w:rsidRPr="003A0DE7">
              <w:rPr>
                <w:rFonts w:ascii="PT Astra Serif" w:hAnsi="PT Astra Serif" w:cs="Arial"/>
                <w:sz w:val="22"/>
                <w:szCs w:val="22"/>
              </w:rPr>
              <w:lastRenderedPageBreak/>
              <w:t>значение имеет взаимодействие обучающихся между собой на уровне класса, образовательного учреждения, т. е. в защищенной, дружественной среде, в которой ребенок получает первое практическое подтверждение приобретенных социальных знаний, начинает их ценить.</w:t>
            </w:r>
          </w:p>
          <w:p w:rsidR="003A0DE7" w:rsidRPr="003A0DE7" w:rsidRDefault="003A0DE7" w:rsidP="003A0DE7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2"/>
                <w:szCs w:val="22"/>
              </w:rPr>
            </w:pPr>
          </w:p>
          <w:p w:rsidR="00E131AA" w:rsidRPr="00B35DB0" w:rsidRDefault="003A0DE7" w:rsidP="003A0DE7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2"/>
                <w:szCs w:val="22"/>
              </w:rPr>
            </w:pPr>
            <w:r w:rsidRPr="003A0DE7">
              <w:rPr>
                <w:rFonts w:ascii="PT Astra Serif" w:hAnsi="PT Astra Serif" w:cs="Arial"/>
                <w:sz w:val="22"/>
                <w:szCs w:val="22"/>
              </w:rPr>
              <w:t>Третий уровень результатов –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учреждения.</w:t>
            </w:r>
          </w:p>
        </w:tc>
      </w:tr>
      <w:tr w:rsidR="00E131AA" w:rsidRPr="00B35DB0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B35DB0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B35DB0" w:rsidRDefault="00E131AA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Титульный лист</w:t>
            </w:r>
          </w:p>
          <w:p w:rsidR="00CF436C" w:rsidRDefault="00CF436C" w:rsidP="00CF436C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E131AA" w:rsidRPr="00B35DB0" w:rsidRDefault="00CF436C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Планируемые р</w:t>
            </w:r>
            <w:r w:rsidR="00E131AA" w:rsidRPr="00B35DB0">
              <w:rPr>
                <w:rFonts w:ascii="PT Astra Serif" w:hAnsi="PT Astra Serif" w:cs="Times New Roman"/>
                <w:sz w:val="22"/>
                <w:szCs w:val="22"/>
              </w:rPr>
              <w:t>езультаты освоения курса внеурочной деятельности</w:t>
            </w:r>
          </w:p>
          <w:p w:rsidR="00E131AA" w:rsidRPr="00B35DB0" w:rsidRDefault="00E131AA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Тематическое планирование</w:t>
            </w:r>
            <w:r w:rsidR="00CF436C">
              <w:rPr>
                <w:rFonts w:ascii="PT Astra Serif" w:hAnsi="PT Astra Serif" w:cs="Times New Roman"/>
                <w:sz w:val="22"/>
                <w:szCs w:val="22"/>
              </w:rPr>
              <w:t xml:space="preserve"> с </w:t>
            </w:r>
            <w:r w:rsidR="00CF436C" w:rsidRPr="00CF436C">
              <w:rPr>
                <w:rFonts w:ascii="PT Astra Serif" w:hAnsi="PT Astra Serif" w:cs="Times New Roman"/>
                <w:sz w:val="22"/>
                <w:szCs w:val="22"/>
              </w:rPr>
              <w:t>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образовательных ресурсов.</w:t>
            </w:r>
          </w:p>
          <w:p w:rsidR="00E131AA" w:rsidRPr="00B35DB0" w:rsidRDefault="00E131AA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КТП (приложение)</w:t>
            </w:r>
          </w:p>
        </w:tc>
      </w:tr>
    </w:tbl>
    <w:p w:rsidR="001A48DE" w:rsidRDefault="0089699E"/>
    <w:sectPr w:rsidR="001A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A"/>
    <w:rsid w:val="00137335"/>
    <w:rsid w:val="003A0DE7"/>
    <w:rsid w:val="0073057B"/>
    <w:rsid w:val="0082018F"/>
    <w:rsid w:val="0089699E"/>
    <w:rsid w:val="0094722E"/>
    <w:rsid w:val="00C3542B"/>
    <w:rsid w:val="00CF436C"/>
    <w:rsid w:val="00E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8B68-14A4-4094-A9E1-9B96E067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31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1AA"/>
    <w:pPr>
      <w:widowControl/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rmal (Web)"/>
    <w:basedOn w:val="a"/>
    <w:unhideWhenUsed/>
    <w:rsid w:val="00E131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unhideWhenUsed/>
    <w:rsid w:val="00E131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78827/2a682f0091a7354a5b60bd9e8e699b23768058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Админ</cp:lastModifiedBy>
  <cp:revision>5</cp:revision>
  <dcterms:created xsi:type="dcterms:W3CDTF">2022-10-16T04:07:00Z</dcterms:created>
  <dcterms:modified xsi:type="dcterms:W3CDTF">2022-11-03T09:10:00Z</dcterms:modified>
</cp:coreProperties>
</file>